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30" w:rsidRPr="000758AF" w:rsidRDefault="000758AF" w:rsidP="000758AF">
      <w:pPr>
        <w:jc w:val="center"/>
        <w:rPr>
          <w:rFonts w:ascii="標楷體" w:eastAsia="標楷體" w:hAnsi="標楷體" w:cs="微軟正黑體"/>
          <w:b/>
          <w:kern w:val="0"/>
          <w:sz w:val="32"/>
          <w:szCs w:val="32"/>
        </w:rPr>
      </w:pPr>
      <w:r w:rsidRPr="000758AF">
        <w:rPr>
          <w:rFonts w:ascii="標楷體" w:eastAsia="標楷體" w:hAnsi="標楷體" w:cs="微軟正黑體" w:hint="eastAsia"/>
          <w:b/>
          <w:kern w:val="0"/>
          <w:sz w:val="32"/>
          <w:szCs w:val="32"/>
        </w:rPr>
        <w:t>【個人捐款</w:t>
      </w:r>
      <w:r>
        <w:rPr>
          <w:rFonts w:ascii="標楷體" w:eastAsia="標楷體" w:hAnsi="標楷體" w:cs="微軟正黑體" w:hint="eastAsia"/>
          <w:b/>
          <w:kern w:val="0"/>
          <w:sz w:val="32"/>
          <w:szCs w:val="32"/>
        </w:rPr>
        <w:t>稅務及相關法規彙整</w:t>
      </w:r>
      <w:r w:rsidRPr="000758AF">
        <w:rPr>
          <w:rFonts w:ascii="標楷體" w:eastAsia="標楷體" w:hAnsi="標楷體" w:cs="微軟正黑體" w:hint="eastAsia"/>
          <w:b/>
          <w:kern w:val="0"/>
          <w:sz w:val="32"/>
          <w:szCs w:val="32"/>
        </w:rPr>
        <w:t>】</w:t>
      </w:r>
    </w:p>
    <w:tbl>
      <w:tblPr>
        <w:tblStyle w:val="a4"/>
        <w:tblW w:w="8926" w:type="dxa"/>
        <w:tblLook w:val="0420" w:firstRow="1" w:lastRow="0" w:firstColumn="0" w:lastColumn="0" w:noHBand="0" w:noVBand="1"/>
      </w:tblPr>
      <w:tblGrid>
        <w:gridCol w:w="988"/>
        <w:gridCol w:w="1842"/>
        <w:gridCol w:w="1985"/>
        <w:gridCol w:w="4111"/>
      </w:tblGrid>
      <w:tr w:rsidR="00D50077" w:rsidRPr="00BC63E2" w:rsidTr="00D50077">
        <w:trPr>
          <w:trHeight w:val="584"/>
        </w:trPr>
        <w:tc>
          <w:tcPr>
            <w:tcW w:w="988" w:type="dxa"/>
            <w:vMerge w:val="restart"/>
            <w:hideMark/>
          </w:tcPr>
          <w:p w:rsidR="00BC63E2" w:rsidRPr="00BC63E2" w:rsidRDefault="00BC63E2" w:rsidP="00BC63E2">
            <w:pPr>
              <w:widowControl/>
              <w:jc w:val="center"/>
              <w:rPr>
                <w:rFonts w:ascii="標楷體" w:eastAsia="標楷體" w:hAnsi="標楷體" w:cs="Arial"/>
                <w:kern w:val="0"/>
                <w:szCs w:val="24"/>
              </w:rPr>
            </w:pPr>
            <w:r w:rsidRPr="00BC63E2">
              <w:rPr>
                <w:rFonts w:ascii="標楷體" w:eastAsia="標楷體" w:hAnsi="標楷體" w:cs="Arial" w:hint="eastAsia"/>
                <w:b/>
                <w:bCs/>
                <w:kern w:val="24"/>
                <w:szCs w:val="24"/>
              </w:rPr>
              <w:t>個人</w:t>
            </w:r>
          </w:p>
          <w:p w:rsidR="00BC63E2" w:rsidRPr="00BC63E2" w:rsidRDefault="00BC63E2" w:rsidP="00BC63E2">
            <w:pPr>
              <w:widowControl/>
              <w:jc w:val="center"/>
              <w:rPr>
                <w:rFonts w:ascii="標楷體" w:eastAsia="標楷體" w:hAnsi="標楷體" w:cs="Arial"/>
                <w:kern w:val="0"/>
                <w:szCs w:val="24"/>
              </w:rPr>
            </w:pPr>
            <w:r w:rsidRPr="00BC63E2">
              <w:rPr>
                <w:rFonts w:ascii="標楷體" w:eastAsia="標楷體" w:hAnsi="標楷體" w:cs="Arial" w:hint="eastAsia"/>
                <w:b/>
                <w:bCs/>
                <w:kern w:val="24"/>
                <w:szCs w:val="24"/>
              </w:rPr>
              <w:t>捐款</w:t>
            </w:r>
          </w:p>
        </w:tc>
        <w:tc>
          <w:tcPr>
            <w:tcW w:w="1842"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b/>
                <w:bCs/>
                <w:kern w:val="24"/>
                <w:szCs w:val="24"/>
              </w:rPr>
              <w:t xml:space="preserve">稅法項目 </w:t>
            </w:r>
          </w:p>
        </w:tc>
        <w:tc>
          <w:tcPr>
            <w:tcW w:w="1985"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b/>
                <w:bCs/>
                <w:kern w:val="24"/>
                <w:szCs w:val="24"/>
              </w:rPr>
              <w:t>現行抵稅上限</w:t>
            </w:r>
          </w:p>
        </w:tc>
        <w:tc>
          <w:tcPr>
            <w:tcW w:w="4111"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b/>
                <w:bCs/>
                <w:kern w:val="24"/>
                <w:szCs w:val="24"/>
              </w:rPr>
              <w:t>申報期程規定</w:t>
            </w:r>
          </w:p>
        </w:tc>
      </w:tr>
      <w:tr w:rsidR="00D50077" w:rsidRPr="00BC63E2" w:rsidTr="00D50077">
        <w:trPr>
          <w:trHeight w:val="584"/>
        </w:trPr>
        <w:tc>
          <w:tcPr>
            <w:tcW w:w="988" w:type="dxa"/>
            <w:vMerge/>
            <w:hideMark/>
          </w:tcPr>
          <w:p w:rsidR="00BC63E2" w:rsidRPr="00BC63E2" w:rsidRDefault="00BC63E2" w:rsidP="00BC63E2">
            <w:pPr>
              <w:widowControl/>
              <w:rPr>
                <w:rFonts w:ascii="標楷體" w:eastAsia="標楷體" w:hAnsi="標楷體" w:cs="Arial"/>
                <w:kern w:val="0"/>
                <w:szCs w:val="24"/>
              </w:rPr>
            </w:pPr>
          </w:p>
        </w:tc>
        <w:tc>
          <w:tcPr>
            <w:tcW w:w="1842"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綜合所得稅</w:t>
            </w:r>
          </w:p>
        </w:tc>
        <w:tc>
          <w:tcPr>
            <w:tcW w:w="1985"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全額列報</w:t>
            </w:r>
          </w:p>
        </w:tc>
        <w:tc>
          <w:tcPr>
            <w:tcW w:w="4111"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每年5/1~5/31 日</w:t>
            </w:r>
          </w:p>
        </w:tc>
      </w:tr>
      <w:tr w:rsidR="00D50077" w:rsidRPr="00BC63E2" w:rsidTr="00D50077">
        <w:trPr>
          <w:trHeight w:val="584"/>
        </w:trPr>
        <w:tc>
          <w:tcPr>
            <w:tcW w:w="988" w:type="dxa"/>
            <w:vMerge/>
            <w:hideMark/>
          </w:tcPr>
          <w:p w:rsidR="00BC63E2" w:rsidRPr="00BC63E2" w:rsidRDefault="00BC63E2" w:rsidP="00BC63E2">
            <w:pPr>
              <w:widowControl/>
              <w:rPr>
                <w:rFonts w:ascii="標楷體" w:eastAsia="標楷體" w:hAnsi="標楷體" w:cs="Arial"/>
                <w:kern w:val="0"/>
                <w:szCs w:val="24"/>
              </w:rPr>
            </w:pPr>
          </w:p>
        </w:tc>
        <w:tc>
          <w:tcPr>
            <w:tcW w:w="1842"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遺產稅</w:t>
            </w:r>
          </w:p>
        </w:tc>
        <w:tc>
          <w:tcPr>
            <w:tcW w:w="1985"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 xml:space="preserve">免徵 </w:t>
            </w:r>
          </w:p>
        </w:tc>
        <w:tc>
          <w:tcPr>
            <w:tcW w:w="4111"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自被繼承人死亡之日起6 個月內辦理(全年申報)</w:t>
            </w:r>
          </w:p>
        </w:tc>
      </w:tr>
      <w:tr w:rsidR="00D50077" w:rsidRPr="00BC63E2" w:rsidTr="00D50077">
        <w:trPr>
          <w:trHeight w:val="584"/>
        </w:trPr>
        <w:tc>
          <w:tcPr>
            <w:tcW w:w="988" w:type="dxa"/>
            <w:vMerge/>
            <w:hideMark/>
          </w:tcPr>
          <w:p w:rsidR="00BC63E2" w:rsidRPr="00BC63E2" w:rsidRDefault="00BC63E2" w:rsidP="00BC63E2">
            <w:pPr>
              <w:widowControl/>
              <w:rPr>
                <w:rFonts w:ascii="標楷體" w:eastAsia="標楷體" w:hAnsi="標楷體" w:cs="Arial"/>
                <w:kern w:val="0"/>
                <w:szCs w:val="24"/>
              </w:rPr>
            </w:pPr>
          </w:p>
        </w:tc>
        <w:tc>
          <w:tcPr>
            <w:tcW w:w="1842"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 xml:space="preserve">贈與稅 </w:t>
            </w:r>
          </w:p>
        </w:tc>
        <w:tc>
          <w:tcPr>
            <w:tcW w:w="1985"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免徵</w:t>
            </w:r>
          </w:p>
        </w:tc>
        <w:tc>
          <w:tcPr>
            <w:tcW w:w="4111"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贈與行為發生後30 日內(全年申報)</w:t>
            </w:r>
          </w:p>
        </w:tc>
      </w:tr>
      <w:tr w:rsidR="00D50077" w:rsidRPr="00BC63E2" w:rsidTr="00D50077">
        <w:trPr>
          <w:trHeight w:val="584"/>
        </w:trPr>
        <w:tc>
          <w:tcPr>
            <w:tcW w:w="988" w:type="dxa"/>
            <w:vMerge/>
            <w:hideMark/>
          </w:tcPr>
          <w:p w:rsidR="00BC63E2" w:rsidRPr="00BC63E2" w:rsidRDefault="00BC63E2" w:rsidP="00BC63E2">
            <w:pPr>
              <w:widowControl/>
              <w:rPr>
                <w:rFonts w:ascii="標楷體" w:eastAsia="標楷體" w:hAnsi="標楷體" w:cs="Arial"/>
                <w:kern w:val="0"/>
                <w:szCs w:val="24"/>
              </w:rPr>
            </w:pPr>
          </w:p>
        </w:tc>
        <w:tc>
          <w:tcPr>
            <w:tcW w:w="1842"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證券交易稅</w:t>
            </w:r>
          </w:p>
        </w:tc>
        <w:tc>
          <w:tcPr>
            <w:tcW w:w="1985"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免徵</w:t>
            </w:r>
          </w:p>
        </w:tc>
        <w:tc>
          <w:tcPr>
            <w:tcW w:w="4111" w:type="dxa"/>
            <w:hideMark/>
          </w:tcPr>
          <w:p w:rsidR="00BC63E2" w:rsidRPr="00BC63E2" w:rsidRDefault="00BC63E2" w:rsidP="00BC63E2">
            <w:pPr>
              <w:widowControl/>
              <w:rPr>
                <w:rFonts w:ascii="標楷體" w:eastAsia="標楷體" w:hAnsi="標楷體" w:cs="Arial"/>
                <w:kern w:val="0"/>
                <w:szCs w:val="24"/>
              </w:rPr>
            </w:pPr>
            <w:r w:rsidRPr="00BC63E2">
              <w:rPr>
                <w:rFonts w:ascii="標楷體" w:eastAsia="標楷體" w:hAnsi="標楷體" w:cs="Arial" w:hint="eastAsia"/>
                <w:kern w:val="24"/>
                <w:szCs w:val="24"/>
              </w:rPr>
              <w:t>代徵人於每次買賣交割之當日，依規定稅率代徵，並於代繳之次日，填具繳款書向國庫繳納(全年申報)</w:t>
            </w:r>
          </w:p>
        </w:tc>
      </w:tr>
    </w:tbl>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壹</w:t>
      </w:r>
      <w:r w:rsidRPr="000758AF">
        <w:rPr>
          <w:rFonts w:ascii="標楷體" w:eastAsia="標楷體" w:hAnsi="標楷體" w:cs="Malgun Gothic Semilight" w:hint="eastAsia"/>
          <w:kern w:val="0"/>
          <w:szCs w:val="24"/>
        </w:rPr>
        <w:t>、</w:t>
      </w:r>
      <w:r w:rsidRPr="000758AF">
        <w:rPr>
          <w:rFonts w:ascii="標楷體" w:eastAsia="標楷體" w:hAnsi="標楷體" w:cs="DFKaiShu-SB-Estd-BF"/>
          <w:kern w:val="0"/>
          <w:szCs w:val="24"/>
        </w:rPr>
        <w:t xml:space="preserve"> </w:t>
      </w:r>
      <w:r w:rsidRPr="000758AF">
        <w:rPr>
          <w:rFonts w:ascii="標楷體" w:eastAsia="標楷體" w:hAnsi="標楷體" w:cs="微軟正黑體" w:hint="eastAsia"/>
          <w:kern w:val="0"/>
          <w:szCs w:val="24"/>
        </w:rPr>
        <w:t>所得稅法第</w:t>
      </w:r>
      <w:r w:rsidRPr="000758AF">
        <w:rPr>
          <w:rFonts w:ascii="標楷體" w:eastAsia="標楷體" w:hAnsi="標楷體" w:cs="DFKaiShu-SB-Estd-BF"/>
          <w:kern w:val="0"/>
          <w:szCs w:val="24"/>
        </w:rPr>
        <w:t xml:space="preserve">17 </w:t>
      </w:r>
      <w:r w:rsidRPr="000758AF">
        <w:rPr>
          <w:rFonts w:ascii="標楷體" w:eastAsia="標楷體" w:hAnsi="標楷體" w:cs="微軟正黑體" w:hint="eastAsia"/>
          <w:kern w:val="0"/>
          <w:szCs w:val="24"/>
        </w:rPr>
        <w:t>條</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二</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扣除額</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納稅義務人就下列標準扣除額或列舉扣除額擇一減除外</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並減除特別扣除額</w:t>
      </w:r>
      <w:r w:rsidRPr="000758AF">
        <w:rPr>
          <w:rFonts w:ascii="標楷體" w:eastAsia="標楷體" w:hAnsi="標楷體" w:cs="Malgun Gothic Semilight" w:hint="eastAsia"/>
          <w:kern w:val="0"/>
          <w:szCs w:val="24"/>
        </w:rPr>
        <w:t>：</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DFKaiShu-SB-Estd-BF" w:hint="eastAsia"/>
          <w:kern w:val="0"/>
          <w:szCs w:val="24"/>
        </w:rPr>
        <w:t>（</w:t>
      </w:r>
      <w:r w:rsidRPr="000758AF">
        <w:rPr>
          <w:rFonts w:ascii="標楷體" w:eastAsia="標楷體" w:hAnsi="標楷體" w:cs="微軟正黑體" w:hint="eastAsia"/>
          <w:kern w:val="0"/>
          <w:szCs w:val="24"/>
        </w:rPr>
        <w:t>二</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列舉扣除額</w:t>
      </w:r>
      <w:r w:rsidRPr="000758AF">
        <w:rPr>
          <w:rFonts w:ascii="標楷體" w:eastAsia="標楷體" w:hAnsi="標楷體" w:cs="Malgun Gothic Semilight" w:hint="eastAsia"/>
          <w:kern w:val="0"/>
          <w:szCs w:val="24"/>
        </w:rPr>
        <w:t>：</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DFKaiShu-SB-Estd-BF"/>
          <w:kern w:val="0"/>
          <w:szCs w:val="24"/>
        </w:rPr>
        <w:t>1.</w:t>
      </w:r>
      <w:r w:rsidRPr="000758AF">
        <w:rPr>
          <w:rFonts w:ascii="標楷體" w:eastAsia="標楷體" w:hAnsi="標楷體" w:cs="微軟正黑體" w:hint="eastAsia"/>
          <w:kern w:val="0"/>
          <w:szCs w:val="24"/>
        </w:rPr>
        <w:t>捐贈</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納稅義務人</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配偶及受扶養親屬對於教育</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文化</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公益</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慈善機構或團體之捐贈總額最高不超過綜合所得總額百分之二十為限</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但有關國防</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勞軍之捐贈及對政府之捐獻</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不受金額之限制</w:t>
      </w:r>
      <w:r w:rsidRPr="000758AF">
        <w:rPr>
          <w:rFonts w:ascii="標楷體" w:eastAsia="標楷體" w:hAnsi="標楷體" w:cs="Malgun Gothic Semilight" w:hint="eastAsia"/>
          <w:kern w:val="0"/>
          <w:szCs w:val="24"/>
        </w:rPr>
        <w:t>。</w:t>
      </w:r>
    </w:p>
    <w:p w:rsidR="000758AF" w:rsidRPr="000758AF" w:rsidRDefault="000758AF" w:rsidP="000758AF">
      <w:pPr>
        <w:autoSpaceDE w:val="0"/>
        <w:autoSpaceDN w:val="0"/>
        <w:adjustRightInd w:val="0"/>
        <w:rPr>
          <w:rFonts w:ascii="標楷體" w:eastAsia="標楷體" w:hAnsi="標楷體" w:cs="微軟正黑體"/>
          <w:kern w:val="0"/>
          <w:sz w:val="20"/>
          <w:szCs w:val="20"/>
        </w:rPr>
      </w:pP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財政部</w:t>
      </w:r>
      <w:r w:rsidRPr="000758AF">
        <w:rPr>
          <w:rFonts w:ascii="標楷體" w:eastAsia="標楷體" w:hAnsi="標楷體" w:cs="DFKaiShu-SB-Estd-BF"/>
          <w:kern w:val="0"/>
          <w:szCs w:val="24"/>
        </w:rPr>
        <w:t xml:space="preserve">65.7.6 </w:t>
      </w:r>
      <w:r w:rsidRPr="000758AF">
        <w:rPr>
          <w:rFonts w:ascii="標楷體" w:eastAsia="標楷體" w:hAnsi="標楷體" w:cs="微軟正黑體" w:hint="eastAsia"/>
          <w:kern w:val="0"/>
          <w:szCs w:val="24"/>
        </w:rPr>
        <w:t>台財稅第</w:t>
      </w:r>
      <w:r w:rsidRPr="000758AF">
        <w:rPr>
          <w:rFonts w:ascii="標楷體" w:eastAsia="標楷體" w:hAnsi="標楷體" w:cs="DFKaiShu-SB-Estd-BF"/>
          <w:kern w:val="0"/>
          <w:szCs w:val="24"/>
        </w:rPr>
        <w:t xml:space="preserve">34469 </w:t>
      </w:r>
      <w:r w:rsidRPr="000758AF">
        <w:rPr>
          <w:rFonts w:ascii="標楷體" w:eastAsia="標楷體" w:hAnsi="標楷體" w:cs="微軟正黑體" w:hint="eastAsia"/>
          <w:kern w:val="0"/>
          <w:szCs w:val="24"/>
        </w:rPr>
        <w:t>號函</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個人捐款給公立學校得視為對政府之捐贈扣除</w:t>
      </w:r>
    </w:p>
    <w:p w:rsidR="000758AF" w:rsidRDefault="000758AF" w:rsidP="000758AF">
      <w:pPr>
        <w:autoSpaceDE w:val="0"/>
        <w:autoSpaceDN w:val="0"/>
        <w:adjustRightInd w:val="0"/>
        <w:rPr>
          <w:rFonts w:ascii="標楷體" w:eastAsia="標楷體" w:hAnsi="標楷體" w:cs="Malgun Gothic Semilight"/>
          <w:kern w:val="0"/>
          <w:szCs w:val="24"/>
        </w:rPr>
      </w:pPr>
      <w:r w:rsidRPr="000758AF">
        <w:rPr>
          <w:rFonts w:ascii="標楷體" w:eastAsia="標楷體" w:hAnsi="標楷體" w:cs="微軟正黑體" w:hint="eastAsia"/>
          <w:kern w:val="0"/>
          <w:szCs w:val="24"/>
        </w:rPr>
        <w:t>營利事業或個人捐款公立學校設置獎學金或擴建校舍及教學設備</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得視為對政府之捐贈</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准予適用所稅法第</w:t>
      </w:r>
      <w:r w:rsidRPr="000758AF">
        <w:rPr>
          <w:rFonts w:ascii="標楷體" w:eastAsia="標楷體" w:hAnsi="標楷體" w:cs="DFKaiShu-SB-Estd-BF"/>
          <w:kern w:val="0"/>
          <w:szCs w:val="24"/>
        </w:rPr>
        <w:t xml:space="preserve">36 </w:t>
      </w:r>
      <w:r w:rsidRPr="000758AF">
        <w:rPr>
          <w:rFonts w:ascii="標楷體" w:eastAsia="標楷體" w:hAnsi="標楷體" w:cs="微軟正黑體" w:hint="eastAsia"/>
          <w:kern w:val="0"/>
          <w:szCs w:val="24"/>
        </w:rPr>
        <w:t>條或同法第</w:t>
      </w:r>
      <w:r w:rsidRPr="000758AF">
        <w:rPr>
          <w:rFonts w:ascii="標楷體" w:eastAsia="標楷體" w:hAnsi="標楷體" w:cs="DFKaiShu-SB-Estd-BF"/>
          <w:kern w:val="0"/>
          <w:szCs w:val="24"/>
        </w:rPr>
        <w:t xml:space="preserve">17 </w:t>
      </w:r>
      <w:r w:rsidRPr="000758AF">
        <w:rPr>
          <w:rFonts w:ascii="標楷體" w:eastAsia="標楷體" w:hAnsi="標楷體" w:cs="微軟正黑體" w:hint="eastAsia"/>
          <w:kern w:val="0"/>
          <w:szCs w:val="24"/>
        </w:rPr>
        <w:t>條第一項第三款第二目但書之規定辦理</w:t>
      </w:r>
      <w:r w:rsidRPr="000758AF">
        <w:rPr>
          <w:rFonts w:ascii="標楷體" w:eastAsia="標楷體" w:hAnsi="標楷體" w:cs="Malgun Gothic Semilight" w:hint="eastAsia"/>
          <w:kern w:val="0"/>
          <w:szCs w:val="24"/>
        </w:rPr>
        <w:t>。</w:t>
      </w:r>
    </w:p>
    <w:p w:rsidR="000758AF" w:rsidRPr="000758AF" w:rsidRDefault="000758AF" w:rsidP="000758AF">
      <w:pPr>
        <w:autoSpaceDE w:val="0"/>
        <w:autoSpaceDN w:val="0"/>
        <w:adjustRightInd w:val="0"/>
        <w:rPr>
          <w:rFonts w:ascii="標楷體" w:eastAsia="標楷體" w:hAnsi="標楷體" w:cs="DFKaiShu-SB-Estd-BF"/>
          <w:kern w:val="0"/>
          <w:szCs w:val="24"/>
        </w:rPr>
      </w:pP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貳</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遺產及贈與稅法第</w:t>
      </w:r>
      <w:r w:rsidRPr="000758AF">
        <w:rPr>
          <w:rFonts w:ascii="標楷體" w:eastAsia="標楷體" w:hAnsi="標楷體" w:cs="DFKaiShu-SB-Estd-BF"/>
          <w:kern w:val="0"/>
          <w:szCs w:val="24"/>
        </w:rPr>
        <w:t xml:space="preserve">16 </w:t>
      </w:r>
      <w:r w:rsidRPr="000758AF">
        <w:rPr>
          <w:rFonts w:ascii="標楷體" w:eastAsia="標楷體" w:hAnsi="標楷體" w:cs="微軟正黑體" w:hint="eastAsia"/>
          <w:kern w:val="0"/>
          <w:szCs w:val="24"/>
        </w:rPr>
        <w:t>條</w:t>
      </w:r>
    </w:p>
    <w:p w:rsidR="000758AF" w:rsidRDefault="000758AF" w:rsidP="000758AF">
      <w:pPr>
        <w:autoSpaceDE w:val="0"/>
        <w:autoSpaceDN w:val="0"/>
        <w:adjustRightInd w:val="0"/>
        <w:rPr>
          <w:rFonts w:ascii="標楷體" w:eastAsia="標楷體" w:hAnsi="標楷體" w:cs="Malgun Gothic Semilight"/>
          <w:kern w:val="0"/>
          <w:szCs w:val="24"/>
        </w:rPr>
      </w:pPr>
      <w:r w:rsidRPr="000758AF">
        <w:rPr>
          <w:rFonts w:ascii="標楷體" w:eastAsia="標楷體" w:hAnsi="標楷體" w:cs="微軟正黑體" w:hint="eastAsia"/>
          <w:kern w:val="0"/>
          <w:szCs w:val="24"/>
        </w:rPr>
        <w:t>遺贈人</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受遺贈人或繼承人捐贈各級政府及公立教育</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文化</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公益慈善機關之財產</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不計入遺產總額</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亦即免徵遺產稅</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且免稅金額不受限制</w:t>
      </w:r>
      <w:r w:rsidRPr="000758AF">
        <w:rPr>
          <w:rFonts w:ascii="標楷體" w:eastAsia="標楷體" w:hAnsi="標楷體" w:cs="Malgun Gothic Semilight" w:hint="eastAsia"/>
          <w:kern w:val="0"/>
          <w:szCs w:val="24"/>
        </w:rPr>
        <w:t>。</w:t>
      </w:r>
    </w:p>
    <w:p w:rsidR="000758AF" w:rsidRPr="000758AF" w:rsidRDefault="000758AF" w:rsidP="000758AF">
      <w:pPr>
        <w:autoSpaceDE w:val="0"/>
        <w:autoSpaceDN w:val="0"/>
        <w:adjustRightInd w:val="0"/>
        <w:rPr>
          <w:rFonts w:ascii="標楷體" w:eastAsia="標楷體" w:hAnsi="標楷體" w:cs="DFKaiShu-SB-Estd-BF"/>
          <w:kern w:val="0"/>
          <w:szCs w:val="24"/>
        </w:rPr>
      </w:pP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叁</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遺產及贈與稅法第</w:t>
      </w:r>
      <w:r w:rsidRPr="000758AF">
        <w:rPr>
          <w:rFonts w:ascii="標楷體" w:eastAsia="標楷體" w:hAnsi="標楷體" w:cs="DFKaiShu-SB-Estd-BF"/>
          <w:kern w:val="0"/>
          <w:szCs w:val="24"/>
        </w:rPr>
        <w:t xml:space="preserve">20 </w:t>
      </w:r>
      <w:r w:rsidRPr="000758AF">
        <w:rPr>
          <w:rFonts w:ascii="標楷體" w:eastAsia="標楷體" w:hAnsi="標楷體" w:cs="微軟正黑體" w:hint="eastAsia"/>
          <w:kern w:val="0"/>
          <w:szCs w:val="24"/>
        </w:rPr>
        <w:t>條</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捐贈各級政府及公立教育</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文化</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公益</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慈善機關之財產</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不計入贈與總額</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亦即免徵贈與稅</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且免稅金額不受限制</w:t>
      </w:r>
      <w:r w:rsidRPr="000758AF">
        <w:rPr>
          <w:rFonts w:ascii="標楷體" w:eastAsia="標楷體" w:hAnsi="標楷體" w:cs="Malgun Gothic Semilight" w:hint="eastAsia"/>
          <w:kern w:val="0"/>
          <w:szCs w:val="24"/>
        </w:rPr>
        <w:t>。</w:t>
      </w:r>
    </w:p>
    <w:p w:rsidR="000758AF" w:rsidRDefault="000758AF" w:rsidP="000758AF">
      <w:pPr>
        <w:autoSpaceDE w:val="0"/>
        <w:autoSpaceDN w:val="0"/>
        <w:adjustRightInd w:val="0"/>
        <w:rPr>
          <w:rFonts w:ascii="標楷體" w:eastAsia="標楷體" w:hAnsi="標楷體" w:cs="微軟正黑體"/>
          <w:kern w:val="0"/>
          <w:szCs w:val="24"/>
        </w:rPr>
      </w:pPr>
    </w:p>
    <w:p w:rsidR="000758AF" w:rsidRDefault="000758AF" w:rsidP="000758AF">
      <w:pPr>
        <w:autoSpaceDE w:val="0"/>
        <w:autoSpaceDN w:val="0"/>
        <w:adjustRightInd w:val="0"/>
        <w:rPr>
          <w:rFonts w:ascii="標楷體" w:eastAsia="標楷體" w:hAnsi="標楷體" w:cs="微軟正黑體"/>
          <w:kern w:val="0"/>
          <w:szCs w:val="24"/>
        </w:rPr>
      </w:pPr>
      <w:r w:rsidRPr="000758AF">
        <w:rPr>
          <w:rFonts w:ascii="標楷體" w:eastAsia="標楷體" w:hAnsi="標楷體" w:cs="微軟正黑體" w:hint="eastAsia"/>
          <w:kern w:val="0"/>
          <w:szCs w:val="24"/>
        </w:rPr>
        <w:t>肆</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證券交易稅條例實施注意事項三</w:t>
      </w:r>
    </w:p>
    <w:p w:rsidR="000758AF" w:rsidRPr="000758AF" w:rsidRDefault="000758AF" w:rsidP="000758AF">
      <w:pPr>
        <w:autoSpaceDE w:val="0"/>
        <w:autoSpaceDN w:val="0"/>
        <w:adjustRightInd w:val="0"/>
        <w:rPr>
          <w:rFonts w:ascii="標楷體" w:eastAsia="標楷體" w:hAnsi="標楷體" w:cs="DFKaiShu-SB-Estd-BF"/>
          <w:kern w:val="0"/>
          <w:szCs w:val="24"/>
        </w:rPr>
      </w:pPr>
      <w:r w:rsidRPr="000758AF">
        <w:rPr>
          <w:rFonts w:ascii="標楷體" w:eastAsia="標楷體" w:hAnsi="標楷體" w:cs="微軟正黑體" w:hint="eastAsia"/>
          <w:kern w:val="0"/>
          <w:szCs w:val="24"/>
        </w:rPr>
        <w:t>有價證券因繼承或贈與而取得者</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不屬交易行為</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免課徵證券交易稅</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無金額限制</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股票捐贈價值計算</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可參考遺產及贈與稅法施行細則第二十八</w:t>
      </w:r>
      <w:r w:rsidRPr="000758AF">
        <w:rPr>
          <w:rFonts w:ascii="標楷體" w:eastAsia="標楷體" w:hAnsi="標楷體" w:cs="Malgun Gothic Semilight" w:hint="eastAsia"/>
          <w:kern w:val="0"/>
          <w:szCs w:val="24"/>
        </w:rPr>
        <w:t>、</w:t>
      </w:r>
      <w:r w:rsidRPr="000758AF">
        <w:rPr>
          <w:rFonts w:ascii="標楷體" w:eastAsia="標楷體" w:hAnsi="標楷體" w:cs="微軟正黑體" w:hint="eastAsia"/>
          <w:kern w:val="0"/>
          <w:szCs w:val="24"/>
        </w:rPr>
        <w:t>二十九條規定</w:t>
      </w:r>
      <w:r w:rsidRPr="000758AF">
        <w:rPr>
          <w:rFonts w:ascii="標楷體" w:eastAsia="標楷體" w:hAnsi="標楷體" w:cs="DFKaiShu-SB-Estd-BF" w:hint="eastAsia"/>
          <w:kern w:val="0"/>
          <w:szCs w:val="24"/>
        </w:rPr>
        <w:t>。</w:t>
      </w:r>
    </w:p>
    <w:p w:rsidR="00BC63E2" w:rsidRDefault="00BC63E2" w:rsidP="00BC63E2">
      <w:pPr>
        <w:jc w:val="center"/>
        <w:rPr>
          <w:rFonts w:ascii="標楷體" w:eastAsia="標楷體" w:hAnsi="標楷體" w:cs="微軟正黑體"/>
          <w:b/>
          <w:kern w:val="0"/>
          <w:sz w:val="32"/>
          <w:szCs w:val="32"/>
        </w:rPr>
      </w:pPr>
      <w:r w:rsidRPr="000758AF">
        <w:rPr>
          <w:rFonts w:ascii="標楷體" w:eastAsia="標楷體" w:hAnsi="標楷體" w:cs="微軟正黑體" w:hint="eastAsia"/>
          <w:b/>
          <w:kern w:val="0"/>
          <w:sz w:val="32"/>
          <w:szCs w:val="32"/>
        </w:rPr>
        <w:lastRenderedPageBreak/>
        <w:t>【</w:t>
      </w:r>
      <w:r>
        <w:rPr>
          <w:rFonts w:ascii="標楷體" w:eastAsia="標楷體" w:hAnsi="標楷體" w:cs="微軟正黑體" w:hint="eastAsia"/>
          <w:b/>
          <w:kern w:val="0"/>
          <w:sz w:val="32"/>
          <w:szCs w:val="32"/>
        </w:rPr>
        <w:t>營利事業</w:t>
      </w:r>
      <w:r w:rsidRPr="000758AF">
        <w:rPr>
          <w:rFonts w:ascii="標楷體" w:eastAsia="標楷體" w:hAnsi="標楷體" w:cs="微軟正黑體" w:hint="eastAsia"/>
          <w:b/>
          <w:kern w:val="0"/>
          <w:sz w:val="32"/>
          <w:szCs w:val="32"/>
        </w:rPr>
        <w:t>捐款</w:t>
      </w:r>
      <w:r>
        <w:rPr>
          <w:rFonts w:ascii="標楷體" w:eastAsia="標楷體" w:hAnsi="標楷體" w:cs="微軟正黑體" w:hint="eastAsia"/>
          <w:b/>
          <w:kern w:val="0"/>
          <w:sz w:val="32"/>
          <w:szCs w:val="32"/>
        </w:rPr>
        <w:t>稅務及相關法規彙整</w:t>
      </w:r>
      <w:r w:rsidRPr="000758AF">
        <w:rPr>
          <w:rFonts w:ascii="標楷體" w:eastAsia="標楷體" w:hAnsi="標楷體" w:cs="微軟正黑體" w:hint="eastAsia"/>
          <w:b/>
          <w:kern w:val="0"/>
          <w:sz w:val="32"/>
          <w:szCs w:val="32"/>
        </w:rPr>
        <w:t>】</w:t>
      </w:r>
    </w:p>
    <w:tbl>
      <w:tblPr>
        <w:tblStyle w:val="a4"/>
        <w:tblW w:w="8784" w:type="dxa"/>
        <w:tblLook w:val="0420" w:firstRow="1" w:lastRow="0" w:firstColumn="0" w:lastColumn="0" w:noHBand="0" w:noVBand="1"/>
      </w:tblPr>
      <w:tblGrid>
        <w:gridCol w:w="1180"/>
        <w:gridCol w:w="1820"/>
        <w:gridCol w:w="2480"/>
        <w:gridCol w:w="3304"/>
      </w:tblGrid>
      <w:tr w:rsidR="007B2375" w:rsidRPr="007B2375" w:rsidTr="007B2375">
        <w:trPr>
          <w:trHeight w:val="584"/>
        </w:trPr>
        <w:tc>
          <w:tcPr>
            <w:tcW w:w="1180" w:type="dxa"/>
            <w:vMerge w:val="restart"/>
            <w:hideMark/>
          </w:tcPr>
          <w:p w:rsidR="007B2375" w:rsidRPr="007B2375" w:rsidRDefault="007B2375" w:rsidP="007B2375">
            <w:pPr>
              <w:widowControl/>
              <w:jc w:val="center"/>
              <w:rPr>
                <w:rFonts w:ascii="標楷體" w:eastAsia="標楷體" w:hAnsi="標楷體" w:cs="Arial"/>
                <w:kern w:val="0"/>
                <w:szCs w:val="24"/>
              </w:rPr>
            </w:pPr>
            <w:r w:rsidRPr="007B2375">
              <w:rPr>
                <w:rFonts w:ascii="標楷體" w:eastAsia="標楷體" w:hAnsi="標楷體" w:cs="Arial" w:hint="eastAsia"/>
                <w:b/>
                <w:bCs/>
                <w:kern w:val="24"/>
                <w:szCs w:val="24"/>
              </w:rPr>
              <w:t>營利事業</w:t>
            </w:r>
          </w:p>
          <w:p w:rsidR="007B2375" w:rsidRPr="007B2375" w:rsidRDefault="007B2375" w:rsidP="007B2375">
            <w:pPr>
              <w:widowControl/>
              <w:jc w:val="center"/>
              <w:rPr>
                <w:rFonts w:ascii="標楷體" w:eastAsia="標楷體" w:hAnsi="標楷體" w:cs="Arial"/>
                <w:kern w:val="0"/>
                <w:szCs w:val="24"/>
              </w:rPr>
            </w:pPr>
            <w:r w:rsidRPr="007B2375">
              <w:rPr>
                <w:rFonts w:ascii="標楷體" w:eastAsia="標楷體" w:hAnsi="標楷體" w:cs="Arial" w:hint="eastAsia"/>
                <w:b/>
                <w:bCs/>
                <w:kern w:val="24"/>
                <w:szCs w:val="24"/>
              </w:rPr>
              <w:t>捐款</w:t>
            </w:r>
          </w:p>
        </w:tc>
        <w:tc>
          <w:tcPr>
            <w:tcW w:w="182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b/>
                <w:bCs/>
                <w:kern w:val="24"/>
                <w:szCs w:val="24"/>
              </w:rPr>
              <w:t xml:space="preserve">稅法項目 </w:t>
            </w:r>
          </w:p>
        </w:tc>
        <w:tc>
          <w:tcPr>
            <w:tcW w:w="248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b/>
                <w:bCs/>
                <w:kern w:val="24"/>
                <w:szCs w:val="24"/>
              </w:rPr>
              <w:t>現行抵稅上限</w:t>
            </w:r>
          </w:p>
        </w:tc>
        <w:tc>
          <w:tcPr>
            <w:tcW w:w="3304"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b/>
                <w:bCs/>
                <w:kern w:val="24"/>
                <w:szCs w:val="24"/>
              </w:rPr>
              <w:t>申報期程規定</w:t>
            </w:r>
          </w:p>
        </w:tc>
      </w:tr>
      <w:tr w:rsidR="007B2375" w:rsidRPr="007B2375" w:rsidTr="007B2375">
        <w:trPr>
          <w:trHeight w:val="1780"/>
        </w:trPr>
        <w:tc>
          <w:tcPr>
            <w:tcW w:w="0" w:type="auto"/>
            <w:vMerge/>
            <w:hideMark/>
          </w:tcPr>
          <w:p w:rsidR="007B2375" w:rsidRPr="007B2375" w:rsidRDefault="007B2375" w:rsidP="007B2375">
            <w:pPr>
              <w:widowControl/>
              <w:rPr>
                <w:rFonts w:ascii="標楷體" w:eastAsia="標楷體" w:hAnsi="標楷體" w:cs="Arial"/>
                <w:kern w:val="0"/>
                <w:szCs w:val="24"/>
              </w:rPr>
            </w:pPr>
          </w:p>
        </w:tc>
        <w:tc>
          <w:tcPr>
            <w:tcW w:w="182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營利事業</w:t>
            </w:r>
          </w:p>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 xml:space="preserve">所得稅 </w:t>
            </w:r>
          </w:p>
        </w:tc>
        <w:tc>
          <w:tcPr>
            <w:tcW w:w="248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全額列報</w:t>
            </w:r>
          </w:p>
        </w:tc>
        <w:tc>
          <w:tcPr>
            <w:tcW w:w="3304"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營所稅暫繳 (每年9/1-9/30 按公司上年度結算申報營利事業所得稅額1/2 辦理暫繳)</w:t>
            </w:r>
          </w:p>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營所稅結算(隔年5/1~5/30 結算)</w:t>
            </w:r>
          </w:p>
        </w:tc>
      </w:tr>
      <w:tr w:rsidR="007B2375" w:rsidRPr="007B2375" w:rsidTr="007B2375">
        <w:trPr>
          <w:trHeight w:val="1138"/>
        </w:trPr>
        <w:tc>
          <w:tcPr>
            <w:tcW w:w="0" w:type="auto"/>
            <w:vMerge/>
            <w:hideMark/>
          </w:tcPr>
          <w:p w:rsidR="007B2375" w:rsidRPr="007B2375" w:rsidRDefault="007B2375" w:rsidP="007B2375">
            <w:pPr>
              <w:widowControl/>
              <w:rPr>
                <w:rFonts w:ascii="標楷體" w:eastAsia="標楷體" w:hAnsi="標楷體" w:cs="Arial"/>
                <w:kern w:val="0"/>
                <w:szCs w:val="24"/>
              </w:rPr>
            </w:pPr>
          </w:p>
        </w:tc>
        <w:tc>
          <w:tcPr>
            <w:tcW w:w="182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證券交易稅</w:t>
            </w:r>
          </w:p>
        </w:tc>
        <w:tc>
          <w:tcPr>
            <w:tcW w:w="2480"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 xml:space="preserve">免徵 </w:t>
            </w:r>
          </w:p>
        </w:tc>
        <w:tc>
          <w:tcPr>
            <w:tcW w:w="3304" w:type="dxa"/>
            <w:hideMark/>
          </w:tcPr>
          <w:p w:rsidR="007B2375" w:rsidRPr="007B2375" w:rsidRDefault="007B2375" w:rsidP="007B2375">
            <w:pPr>
              <w:widowControl/>
              <w:rPr>
                <w:rFonts w:ascii="標楷體" w:eastAsia="標楷體" w:hAnsi="標楷體" w:cs="Arial"/>
                <w:kern w:val="0"/>
                <w:szCs w:val="24"/>
              </w:rPr>
            </w:pPr>
            <w:r w:rsidRPr="007B2375">
              <w:rPr>
                <w:rFonts w:ascii="標楷體" w:eastAsia="標楷體" w:hAnsi="標楷體" w:cs="Arial" w:hint="eastAsia"/>
                <w:kern w:val="24"/>
                <w:szCs w:val="24"/>
              </w:rPr>
              <w:t>代徵人於每次買賣交割之當日，依規定稅率代徵，並於代繳之次日，填具繳款書向國庫繳納。(全年申報)</w:t>
            </w:r>
          </w:p>
        </w:tc>
      </w:tr>
    </w:tbl>
    <w:p w:rsidR="00BC63E2" w:rsidRPr="00BC63E2" w:rsidRDefault="00BC63E2" w:rsidP="00BC63E2">
      <w:pPr>
        <w:rPr>
          <w:rFonts w:ascii="標楷體" w:eastAsia="標楷體" w:hAnsi="標楷體"/>
        </w:rPr>
      </w:pPr>
      <w:r w:rsidRPr="00BC63E2">
        <w:rPr>
          <w:rFonts w:ascii="標楷體" w:eastAsia="標楷體" w:hAnsi="標楷體" w:hint="eastAsia"/>
        </w:rPr>
        <w:t>壹、所得稅法第36 條</w:t>
      </w:r>
    </w:p>
    <w:p w:rsidR="00BC63E2" w:rsidRPr="00BC63E2" w:rsidRDefault="00BC63E2" w:rsidP="00BC63E2">
      <w:pPr>
        <w:rPr>
          <w:rFonts w:ascii="標楷體" w:eastAsia="標楷體" w:hAnsi="標楷體"/>
        </w:rPr>
      </w:pPr>
      <w:r w:rsidRPr="00BC63E2">
        <w:rPr>
          <w:rFonts w:ascii="標楷體" w:eastAsia="標楷體" w:hAnsi="標楷體" w:hint="eastAsia"/>
        </w:rPr>
        <w:t>營利事業之捐贈，得依左列規定，列為當年度費用或損失：</w:t>
      </w:r>
    </w:p>
    <w:p w:rsidR="00BC63E2" w:rsidRPr="00BC63E2" w:rsidRDefault="00BC63E2" w:rsidP="00BC63E2">
      <w:pPr>
        <w:rPr>
          <w:rFonts w:ascii="標楷體" w:eastAsia="標楷體" w:hAnsi="標楷體"/>
        </w:rPr>
      </w:pPr>
      <w:r w:rsidRPr="00BC63E2">
        <w:rPr>
          <w:rFonts w:ascii="標楷體" w:eastAsia="標楷體" w:hAnsi="標楷體" w:hint="eastAsia"/>
        </w:rPr>
        <w:t>一、為協助國防建設、慰勞軍隊、對各級政府之捐贈，以及經財政部專案核准之捐贈，不受金額限制。</w:t>
      </w:r>
    </w:p>
    <w:p w:rsidR="00BC63E2" w:rsidRDefault="00BC63E2" w:rsidP="00BC63E2">
      <w:pPr>
        <w:rPr>
          <w:rFonts w:ascii="標楷體" w:eastAsia="標楷體" w:hAnsi="標楷體"/>
        </w:rPr>
      </w:pPr>
      <w:r w:rsidRPr="00BC63E2">
        <w:rPr>
          <w:rFonts w:ascii="標楷體" w:eastAsia="標楷體" w:hAnsi="標楷體" w:hint="eastAsia"/>
        </w:rPr>
        <w:t>二、除前款規定之捐贈外，凡對合於第十一條第四項規定之機關、團體之捐贈，以不超過所得額百分之十為限。</w:t>
      </w:r>
    </w:p>
    <w:p w:rsidR="00BC63E2" w:rsidRPr="00BC63E2" w:rsidRDefault="00BC63E2" w:rsidP="00BC63E2">
      <w:pPr>
        <w:rPr>
          <w:rFonts w:ascii="標楷體" w:eastAsia="標楷體" w:hAnsi="標楷體"/>
        </w:rPr>
      </w:pPr>
    </w:p>
    <w:p w:rsidR="00BC63E2" w:rsidRPr="00BC63E2" w:rsidRDefault="00BC63E2" w:rsidP="00BC63E2">
      <w:pPr>
        <w:rPr>
          <w:rFonts w:ascii="標楷體" w:eastAsia="標楷體" w:hAnsi="標楷體"/>
        </w:rPr>
      </w:pPr>
      <w:r w:rsidRPr="00BC63E2">
        <w:rPr>
          <w:rFonts w:ascii="標楷體" w:eastAsia="標楷體" w:hAnsi="標楷體" w:hint="eastAsia"/>
        </w:rPr>
        <w:t>貳、證券交易稅條例實施注意事項三</w:t>
      </w:r>
    </w:p>
    <w:p w:rsidR="00BC63E2" w:rsidRPr="00BC63E2" w:rsidRDefault="00BC63E2" w:rsidP="00BC63E2">
      <w:pPr>
        <w:rPr>
          <w:rFonts w:ascii="標楷體" w:eastAsia="標楷體" w:hAnsi="標楷體"/>
        </w:rPr>
      </w:pPr>
      <w:r w:rsidRPr="00BC63E2">
        <w:rPr>
          <w:rFonts w:ascii="標楷體" w:eastAsia="標楷體" w:hAnsi="標楷體" w:hint="eastAsia"/>
        </w:rPr>
        <w:t>有價證券因繼承或贈與而取得者，不屬交易行為，免課徵證券交易稅。</w:t>
      </w:r>
    </w:p>
    <w:p w:rsidR="00BC63E2" w:rsidRPr="00BC63E2" w:rsidRDefault="00BC63E2" w:rsidP="00BC63E2">
      <w:pPr>
        <w:rPr>
          <w:rFonts w:ascii="標楷體" w:eastAsia="標楷體" w:hAnsi="標楷體"/>
        </w:rPr>
      </w:pPr>
      <w:r w:rsidRPr="00BC63E2">
        <w:rPr>
          <w:rFonts w:ascii="標楷體" w:eastAsia="標楷體" w:hAnsi="標楷體" w:hint="eastAsia"/>
        </w:rPr>
        <w:t>一、無金額限制</w:t>
      </w:r>
      <w:r w:rsidR="00030CD3">
        <w:rPr>
          <w:rFonts w:ascii="標楷體" w:eastAsia="標楷體" w:hAnsi="標楷體" w:hint="eastAsia"/>
        </w:rPr>
        <w:t>。</w:t>
      </w:r>
    </w:p>
    <w:p w:rsidR="000758AF" w:rsidRPr="00BC63E2" w:rsidRDefault="00BC63E2" w:rsidP="00BC63E2">
      <w:pPr>
        <w:rPr>
          <w:rFonts w:ascii="標楷體" w:eastAsia="標楷體" w:hAnsi="標楷體"/>
        </w:rPr>
      </w:pPr>
      <w:r w:rsidRPr="00BC63E2">
        <w:rPr>
          <w:rFonts w:ascii="標楷體" w:eastAsia="標楷體" w:hAnsi="標楷體" w:hint="eastAsia"/>
        </w:rPr>
        <w:t>二、股票捐贈價值之計算方式比照個人捐贈</w:t>
      </w:r>
      <w:bookmarkStart w:id="0" w:name="_GoBack"/>
      <w:bookmarkEnd w:id="0"/>
      <w:r w:rsidRPr="00BC63E2">
        <w:rPr>
          <w:rFonts w:ascii="標楷體" w:eastAsia="標楷體" w:hAnsi="標楷體" w:hint="eastAsia"/>
        </w:rPr>
        <w:t>股票之計算方式</w:t>
      </w:r>
      <w:r w:rsidR="00030CD3">
        <w:rPr>
          <w:rFonts w:ascii="標楷體" w:eastAsia="標楷體" w:hAnsi="標楷體" w:hint="eastAsia"/>
        </w:rPr>
        <w:t>。</w:t>
      </w:r>
    </w:p>
    <w:sectPr w:rsidR="000758AF" w:rsidRPr="00BC63E2" w:rsidSect="000758A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0DF" w:rsidRDefault="00E060DF" w:rsidP="007B2375">
      <w:r>
        <w:separator/>
      </w:r>
    </w:p>
  </w:endnote>
  <w:endnote w:type="continuationSeparator" w:id="0">
    <w:p w:rsidR="00E060DF" w:rsidRDefault="00E060DF" w:rsidP="007B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0DF" w:rsidRDefault="00E060DF" w:rsidP="007B2375">
      <w:r>
        <w:separator/>
      </w:r>
    </w:p>
  </w:footnote>
  <w:footnote w:type="continuationSeparator" w:id="0">
    <w:p w:rsidR="00E060DF" w:rsidRDefault="00E060DF" w:rsidP="007B23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0B70"/>
    <w:multiLevelType w:val="hybridMultilevel"/>
    <w:tmpl w:val="CACC697E"/>
    <w:lvl w:ilvl="0" w:tplc="2DF8DCEC">
      <w:start w:val="1"/>
      <w:numFmt w:val="taiwaneseCountingThousand"/>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8AF"/>
    <w:rsid w:val="00030CD3"/>
    <w:rsid w:val="000758AF"/>
    <w:rsid w:val="007B2375"/>
    <w:rsid w:val="00923330"/>
    <w:rsid w:val="00B96842"/>
    <w:rsid w:val="00BC63E2"/>
    <w:rsid w:val="00D50077"/>
    <w:rsid w:val="00E06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C0BF4-C848-4786-9B00-878AFF91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8AF"/>
    <w:pPr>
      <w:ind w:leftChars="200" w:left="480"/>
    </w:pPr>
  </w:style>
  <w:style w:type="table" w:styleId="a4">
    <w:name w:val="Table Grid"/>
    <w:basedOn w:val="a1"/>
    <w:uiPriority w:val="39"/>
    <w:rsid w:val="00D5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2375"/>
    <w:pPr>
      <w:tabs>
        <w:tab w:val="center" w:pos="4153"/>
        <w:tab w:val="right" w:pos="8306"/>
      </w:tabs>
      <w:snapToGrid w:val="0"/>
    </w:pPr>
    <w:rPr>
      <w:sz w:val="20"/>
      <w:szCs w:val="20"/>
    </w:rPr>
  </w:style>
  <w:style w:type="character" w:customStyle="1" w:styleId="a6">
    <w:name w:val="頁首 字元"/>
    <w:basedOn w:val="a0"/>
    <w:link w:val="a5"/>
    <w:uiPriority w:val="99"/>
    <w:rsid w:val="007B2375"/>
    <w:rPr>
      <w:sz w:val="20"/>
      <w:szCs w:val="20"/>
    </w:rPr>
  </w:style>
  <w:style w:type="paragraph" w:styleId="a7">
    <w:name w:val="footer"/>
    <w:basedOn w:val="a"/>
    <w:link w:val="a8"/>
    <w:uiPriority w:val="99"/>
    <w:unhideWhenUsed/>
    <w:rsid w:val="007B2375"/>
    <w:pPr>
      <w:tabs>
        <w:tab w:val="center" w:pos="4153"/>
        <w:tab w:val="right" w:pos="8306"/>
      </w:tabs>
      <w:snapToGrid w:val="0"/>
    </w:pPr>
    <w:rPr>
      <w:sz w:val="20"/>
      <w:szCs w:val="20"/>
    </w:rPr>
  </w:style>
  <w:style w:type="character" w:customStyle="1" w:styleId="a8">
    <w:name w:val="頁尾 字元"/>
    <w:basedOn w:val="a0"/>
    <w:link w:val="a7"/>
    <w:uiPriority w:val="99"/>
    <w:rsid w:val="007B2375"/>
    <w:rPr>
      <w:sz w:val="20"/>
      <w:szCs w:val="20"/>
    </w:rPr>
  </w:style>
  <w:style w:type="paragraph" w:styleId="Web">
    <w:name w:val="Normal (Web)"/>
    <w:basedOn w:val="a"/>
    <w:uiPriority w:val="99"/>
    <w:semiHidden/>
    <w:unhideWhenUsed/>
    <w:rsid w:val="007B2375"/>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8653">
      <w:bodyDiv w:val="1"/>
      <w:marLeft w:val="0"/>
      <w:marRight w:val="0"/>
      <w:marTop w:val="0"/>
      <w:marBottom w:val="0"/>
      <w:divBdr>
        <w:top w:val="none" w:sz="0" w:space="0" w:color="auto"/>
        <w:left w:val="none" w:sz="0" w:space="0" w:color="auto"/>
        <w:bottom w:val="none" w:sz="0" w:space="0" w:color="auto"/>
        <w:right w:val="none" w:sz="0" w:space="0" w:color="auto"/>
      </w:divBdr>
    </w:div>
    <w:div w:id="374701811">
      <w:bodyDiv w:val="1"/>
      <w:marLeft w:val="0"/>
      <w:marRight w:val="0"/>
      <w:marTop w:val="0"/>
      <w:marBottom w:val="0"/>
      <w:divBdr>
        <w:top w:val="none" w:sz="0" w:space="0" w:color="auto"/>
        <w:left w:val="none" w:sz="0" w:space="0" w:color="auto"/>
        <w:bottom w:val="none" w:sz="0" w:space="0" w:color="auto"/>
        <w:right w:val="none" w:sz="0" w:space="0" w:color="auto"/>
      </w:divBdr>
    </w:div>
    <w:div w:id="611792218">
      <w:bodyDiv w:val="1"/>
      <w:marLeft w:val="0"/>
      <w:marRight w:val="0"/>
      <w:marTop w:val="0"/>
      <w:marBottom w:val="0"/>
      <w:divBdr>
        <w:top w:val="none" w:sz="0" w:space="0" w:color="auto"/>
        <w:left w:val="none" w:sz="0" w:space="0" w:color="auto"/>
        <w:bottom w:val="none" w:sz="0" w:space="0" w:color="auto"/>
        <w:right w:val="none" w:sz="0" w:space="0" w:color="auto"/>
      </w:divBdr>
    </w:div>
    <w:div w:id="20244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ritahuang@ntu.edu.tw</dc:creator>
  <cp:keywords/>
  <dc:description/>
  <cp:lastModifiedBy>ritahuang@ntu.edu.tw</cp:lastModifiedBy>
  <cp:revision>5</cp:revision>
  <dcterms:created xsi:type="dcterms:W3CDTF">2019-10-05T08:38:00Z</dcterms:created>
  <dcterms:modified xsi:type="dcterms:W3CDTF">2019-10-21T06:00:00Z</dcterms:modified>
</cp:coreProperties>
</file>